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91E1" w14:textId="77777777" w:rsidR="00F40A02" w:rsidRPr="006D7F7C" w:rsidRDefault="00F40A02" w:rsidP="00D477CF">
      <w:pPr>
        <w:pStyle w:val="Sinespaciado"/>
        <w:rPr>
          <w:rFonts w:ascii="Tahoma" w:hAnsi="Tahoma" w:cs="Tahoma"/>
          <w:sz w:val="28"/>
          <w:szCs w:val="28"/>
          <w:lang w:val="nb-NO"/>
        </w:rPr>
      </w:pPr>
      <w:r w:rsidRPr="006D7F7C">
        <w:rPr>
          <w:rFonts w:ascii="Tahoma" w:hAnsi="Tahoma" w:cs="Tahoma"/>
          <w:sz w:val="28"/>
          <w:szCs w:val="28"/>
          <w:lang w:val="nb-NO"/>
        </w:rPr>
        <w:t xml:space="preserve">Fase 2: </w:t>
      </w:r>
    </w:p>
    <w:p w14:paraId="53E6F740" w14:textId="77777777" w:rsidR="00E84983" w:rsidRPr="006D7F7C" w:rsidRDefault="00F40A02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>Alicante provinsen sammen med resten av Comunidad Valenciana går videre til fase 2 fra idag mandag 1. juni.</w:t>
      </w:r>
      <w:r w:rsidR="002914DB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Nå er 70 % av Spania i fase 2.</w:t>
      </w:r>
      <w:r w:rsidR="00C93238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Poco a poco blir det bedre!</w:t>
      </w:r>
    </w:p>
    <w:p w14:paraId="759635AE" w14:textId="77777777" w:rsidR="00E84983" w:rsidRPr="006D7F7C" w:rsidRDefault="00F40A02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br/>
      </w:r>
      <w:r w:rsidR="00C93238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Fra i dag </w:t>
      </w: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gjelder ikke timeplanen</w:t>
      </w:r>
      <w:r w:rsidR="002914DB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for å gå tur og sporte</w:t>
      </w: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>,</w:t>
      </w:r>
      <w:r w:rsidR="00C93238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bare at man respekterer klokkeslettet som er for de som er over 70 år .</w:t>
      </w:r>
    </w:p>
    <w:p w14:paraId="04B62059" w14:textId="77777777" w:rsidR="00E84983" w:rsidRPr="006D7F7C" w:rsidRDefault="00E84983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</w:p>
    <w:p w14:paraId="5C4AFCB4" w14:textId="77777777" w:rsidR="00E84983" w:rsidRPr="006D7F7C" w:rsidRDefault="00F40A02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</w:t>
      </w:r>
      <w:r w:rsidR="00C93238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>B</w:t>
      </w: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>arer og restauranter kan også åpne innendørs, kjøpesentre og butikker over 400 m2 kan åpne og strender og bassenger kan brukes.</w:t>
      </w:r>
      <w:r w:rsidR="00C93238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Her i Alfaz del Pi åpner ikke stranda i Albir før den  10. juni har kommunen bestemt. </w:t>
      </w:r>
      <w:r w:rsidR="00926165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>Stranden vil bli delt opp i fire deler og kontrollert av sikkerhetspersonell.</w:t>
      </w:r>
      <w:r w:rsidR="006D0440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Bassengene kan åpnes , men da med strenge restriksjoner og regler .  I bassenget kan det bare være 30 % av kapasieteten, og veldig viktig å holde avstand, hygiene og hyppig vask.</w:t>
      </w:r>
      <w:r w:rsidR="00D477CF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Her på Alfaz del Sol håper vi å kunne åpne bassenget snart,  ny beskjed om dette kommer så snart vi vet noe mer. </w:t>
      </w:r>
    </w:p>
    <w:p w14:paraId="395DC583" w14:textId="77777777" w:rsidR="00E84983" w:rsidRPr="006D7F7C" w:rsidRDefault="00E84983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</w:p>
    <w:p w14:paraId="0356BB5B" w14:textId="449178E4" w:rsidR="00926165" w:rsidRPr="006D7F7C" w:rsidRDefault="006D0440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 </w:t>
      </w:r>
      <w:r w:rsidR="00926165"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Fra idag av økes antallet for hvor mange personer som kan samles fra 10 til 15 stk, dette gjelder hjemme eller ute.</w:t>
      </w: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 Kino, teater,  auditorium, kongress og  mulighet for  forretningsmøter åpnes, men det  bare lov til å bruke 1/3 av kapasiteten,  max 50 personer.</w:t>
      </w:r>
    </w:p>
    <w:p w14:paraId="1BD79015" w14:textId="37BF3385" w:rsidR="00AD78F2" w:rsidRPr="006D7F7C" w:rsidRDefault="00AD78F2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</w:p>
    <w:p w14:paraId="3D285081" w14:textId="726BAEA1" w:rsidR="00AD78F2" w:rsidRPr="006D7F7C" w:rsidRDefault="00AD78F2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 xml:space="preserve">Om du kjører bil er reglene de samme, om du bor under samme hustak, kan du reise sammen i bil og uten munnbind. Ellers så er det max to personer pr. rekke og alle må bruke munnbind, dette betyr at i en vanlig personnbil kan det reise 4 personer, to foran og to bak. </w:t>
      </w:r>
    </w:p>
    <w:p w14:paraId="056B2A19" w14:textId="77777777" w:rsidR="00E84983" w:rsidRPr="006D7F7C" w:rsidRDefault="00E84983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</w:p>
    <w:p w14:paraId="7D4043B4" w14:textId="28B044E5" w:rsidR="00D477CF" w:rsidRDefault="00D477CF" w:rsidP="00D477CF">
      <w:pPr>
        <w:pStyle w:val="Sinespaciado"/>
        <w:pBdr>
          <w:bottom w:val="single" w:sz="6" w:space="1" w:color="auto"/>
        </w:pBdr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  <w:r w:rsidRPr="006D7F7C"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  <w:t>Valencia regionen håper å kunne gå videre i fase 3 fra den  15. juni og kanskje tidligere.</w:t>
      </w:r>
    </w:p>
    <w:p w14:paraId="26998EC2" w14:textId="77777777" w:rsidR="002962D7" w:rsidRPr="006D7F7C" w:rsidRDefault="002962D7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</w:p>
    <w:p w14:paraId="7B8B6E06" w14:textId="2F08E35A" w:rsidR="00E84983" w:rsidRPr="006D7F7C" w:rsidRDefault="00E84983" w:rsidP="00D477CF">
      <w:pPr>
        <w:pStyle w:val="Sinespaciado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</w:p>
    <w:p w14:paraId="6BB249FE" w14:textId="0B58AABA" w:rsidR="00926165" w:rsidRDefault="00E84983" w:rsidP="006D7F7C">
      <w:pPr>
        <w:pStyle w:val="Sinespaciado"/>
        <w:jc w:val="center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  <w:r w:rsidRPr="006D7F7C">
        <w:rPr>
          <w:rFonts w:ascii="Tahoma" w:hAnsi="Tahoma" w:cs="Tahoma"/>
          <w:noProof/>
          <w:color w:val="1C1E21"/>
          <w:sz w:val="28"/>
          <w:szCs w:val="28"/>
          <w:lang w:val="nb-NO"/>
        </w:rPr>
        <w:drawing>
          <wp:inline distT="0" distB="0" distL="0" distR="0" wp14:anchorId="3F3BB5AD" wp14:editId="6345E46A">
            <wp:extent cx="2847975" cy="1247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4A7B" w14:textId="77777777" w:rsidR="002962D7" w:rsidRPr="006D7F7C" w:rsidRDefault="002962D7" w:rsidP="006D7F7C">
      <w:pPr>
        <w:pStyle w:val="Sinespaciado"/>
        <w:jc w:val="center"/>
        <w:rPr>
          <w:rFonts w:ascii="Tahoma" w:eastAsia="Times New Roman" w:hAnsi="Tahoma" w:cs="Tahoma"/>
          <w:color w:val="1C1E21"/>
          <w:sz w:val="28"/>
          <w:szCs w:val="28"/>
          <w:lang w:val="nb-NO" w:eastAsia="es-ES"/>
        </w:rPr>
      </w:pPr>
    </w:p>
    <w:p w14:paraId="2D94E8C5" w14:textId="77777777" w:rsidR="00D477CF" w:rsidRPr="006D7F7C" w:rsidRDefault="00D477CF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  <w:r w:rsidRPr="006D7F7C">
        <w:rPr>
          <w:rFonts w:ascii="Tahoma" w:hAnsi="Tahoma" w:cs="Tahoma"/>
          <w:sz w:val="28"/>
          <w:szCs w:val="28"/>
          <w:lang w:eastAsia="es-ES"/>
        </w:rPr>
        <w:lastRenderedPageBreak/>
        <w:t>Fase 2:</w:t>
      </w:r>
    </w:p>
    <w:p w14:paraId="44B2920D" w14:textId="7B3AB2AE" w:rsidR="00D477CF" w:rsidRPr="006D7F7C" w:rsidRDefault="00D477CF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  <w:r w:rsidRPr="006D7F7C">
        <w:rPr>
          <w:rFonts w:ascii="Tahoma" w:hAnsi="Tahoma" w:cs="Tahoma"/>
          <w:sz w:val="28"/>
          <w:szCs w:val="28"/>
          <w:lang w:eastAsia="es-ES"/>
        </w:rPr>
        <w:t>La provincia de Alicante, junto con el resto de la Comunidad Valenciana, procederá a la Fase 2 a partir de hoy, lunes 1 de junio. Ahora el 70% de España está en la fase 2. ¡Poco a poco está mejorando!</w:t>
      </w:r>
    </w:p>
    <w:p w14:paraId="15E5C6DB" w14:textId="77777777" w:rsidR="00E84983" w:rsidRPr="006D7F7C" w:rsidRDefault="00E84983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</w:p>
    <w:p w14:paraId="2B27EDB8" w14:textId="24AC18AD" w:rsidR="00E84983" w:rsidRPr="006D7F7C" w:rsidRDefault="00D477CF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  <w:r w:rsidRPr="006D7F7C">
        <w:rPr>
          <w:rFonts w:ascii="Tahoma" w:hAnsi="Tahoma" w:cs="Tahoma"/>
          <w:sz w:val="28"/>
          <w:szCs w:val="28"/>
          <w:lang w:eastAsia="es-ES"/>
        </w:rPr>
        <w:t xml:space="preserve">A partir de hoy, el </w:t>
      </w:r>
      <w:r w:rsidR="00E84983" w:rsidRPr="006D7F7C">
        <w:rPr>
          <w:rFonts w:ascii="Tahoma" w:hAnsi="Tahoma" w:cs="Tahoma"/>
          <w:sz w:val="28"/>
          <w:szCs w:val="28"/>
          <w:lang w:eastAsia="es-ES"/>
        </w:rPr>
        <w:t>horario de paseos y</w:t>
      </w:r>
      <w:r w:rsidRPr="006D7F7C">
        <w:rPr>
          <w:rFonts w:ascii="Tahoma" w:hAnsi="Tahoma" w:cs="Tahoma"/>
          <w:sz w:val="28"/>
          <w:szCs w:val="28"/>
          <w:lang w:eastAsia="es-ES"/>
        </w:rPr>
        <w:t xml:space="preserve"> deportes no se aplica, solo que </w:t>
      </w:r>
      <w:r w:rsidR="00AD78F2" w:rsidRPr="006D7F7C">
        <w:rPr>
          <w:rFonts w:ascii="Tahoma" w:hAnsi="Tahoma" w:cs="Tahoma"/>
          <w:sz w:val="28"/>
          <w:szCs w:val="28"/>
          <w:lang w:eastAsia="es-ES"/>
        </w:rPr>
        <w:t>se respeta</w:t>
      </w:r>
      <w:r w:rsidRPr="006D7F7C">
        <w:rPr>
          <w:rFonts w:ascii="Tahoma" w:hAnsi="Tahoma" w:cs="Tahoma"/>
          <w:sz w:val="28"/>
          <w:szCs w:val="28"/>
          <w:lang w:eastAsia="es-ES"/>
        </w:rPr>
        <w:t xml:space="preserve"> el </w:t>
      </w:r>
      <w:r w:rsidR="006D7F7C" w:rsidRPr="006D7F7C">
        <w:rPr>
          <w:rFonts w:ascii="Tahoma" w:hAnsi="Tahoma" w:cs="Tahoma"/>
          <w:sz w:val="28"/>
          <w:szCs w:val="28"/>
          <w:lang w:eastAsia="es-ES"/>
        </w:rPr>
        <w:t>horario para</w:t>
      </w:r>
      <w:r w:rsidRPr="006D7F7C">
        <w:rPr>
          <w:rFonts w:ascii="Tahoma" w:hAnsi="Tahoma" w:cs="Tahoma"/>
          <w:sz w:val="28"/>
          <w:szCs w:val="28"/>
          <w:lang w:eastAsia="es-ES"/>
        </w:rPr>
        <w:t xml:space="preserve"> los paseos de los mayores de 70 años. </w:t>
      </w:r>
    </w:p>
    <w:p w14:paraId="27084992" w14:textId="77777777" w:rsidR="00E84983" w:rsidRPr="006D7F7C" w:rsidRDefault="00E84983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</w:p>
    <w:p w14:paraId="535C4B22" w14:textId="64ED3E43" w:rsidR="00E84983" w:rsidRPr="006D7F7C" w:rsidRDefault="00D477CF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  <w:r w:rsidRPr="006D7F7C">
        <w:rPr>
          <w:rFonts w:ascii="Tahoma" w:hAnsi="Tahoma" w:cs="Tahoma"/>
          <w:sz w:val="28"/>
          <w:szCs w:val="28"/>
          <w:lang w:eastAsia="es-ES"/>
        </w:rPr>
        <w:t xml:space="preserve">Los bares y restaurantes pueden abrir en el interior, se pueden abrir </w:t>
      </w:r>
      <w:r w:rsidR="00E84983" w:rsidRPr="006D7F7C">
        <w:rPr>
          <w:rFonts w:ascii="Tahoma" w:hAnsi="Tahoma" w:cs="Tahoma"/>
          <w:sz w:val="28"/>
          <w:szCs w:val="28"/>
          <w:lang w:eastAsia="es-ES"/>
        </w:rPr>
        <w:t>los centros</w:t>
      </w:r>
      <w:r w:rsidRPr="006D7F7C">
        <w:rPr>
          <w:rFonts w:ascii="Tahoma" w:hAnsi="Tahoma" w:cs="Tahoma"/>
          <w:sz w:val="28"/>
          <w:szCs w:val="28"/>
          <w:lang w:eastAsia="es-ES"/>
        </w:rPr>
        <w:t xml:space="preserve"> comerciales y tiendas de más de 400 m2 y se pueden utilizar playas y piscinas. Aquí en </w:t>
      </w:r>
      <w:proofErr w:type="spellStart"/>
      <w:r w:rsidRPr="006D7F7C">
        <w:rPr>
          <w:rFonts w:ascii="Tahoma" w:hAnsi="Tahoma" w:cs="Tahoma"/>
          <w:sz w:val="28"/>
          <w:szCs w:val="28"/>
          <w:lang w:eastAsia="es-ES"/>
        </w:rPr>
        <w:t>Alfaz</w:t>
      </w:r>
      <w:proofErr w:type="spellEnd"/>
      <w:r w:rsidRPr="006D7F7C">
        <w:rPr>
          <w:rFonts w:ascii="Tahoma" w:hAnsi="Tahoma" w:cs="Tahoma"/>
          <w:sz w:val="28"/>
          <w:szCs w:val="28"/>
          <w:lang w:eastAsia="es-ES"/>
        </w:rPr>
        <w:t xml:space="preserve"> del Pi no se abre la playa en </w:t>
      </w:r>
      <w:proofErr w:type="spellStart"/>
      <w:r w:rsidRPr="006D7F7C">
        <w:rPr>
          <w:rFonts w:ascii="Tahoma" w:hAnsi="Tahoma" w:cs="Tahoma"/>
          <w:sz w:val="28"/>
          <w:szCs w:val="28"/>
          <w:lang w:eastAsia="es-ES"/>
        </w:rPr>
        <w:t>Albir</w:t>
      </w:r>
      <w:proofErr w:type="spellEnd"/>
      <w:r w:rsidRPr="006D7F7C">
        <w:rPr>
          <w:rFonts w:ascii="Tahoma" w:hAnsi="Tahoma" w:cs="Tahoma"/>
          <w:sz w:val="28"/>
          <w:szCs w:val="28"/>
          <w:lang w:eastAsia="es-ES"/>
        </w:rPr>
        <w:t xml:space="preserve"> hasta el 10 de junio, decisión del </w:t>
      </w:r>
      <w:r w:rsidR="00E84983" w:rsidRPr="006D7F7C">
        <w:rPr>
          <w:rFonts w:ascii="Tahoma" w:hAnsi="Tahoma" w:cs="Tahoma"/>
          <w:sz w:val="28"/>
          <w:szCs w:val="28"/>
          <w:lang w:eastAsia="es-ES"/>
        </w:rPr>
        <w:t>Ayuntamiento</w:t>
      </w:r>
      <w:r w:rsidRPr="006D7F7C">
        <w:rPr>
          <w:rFonts w:ascii="Tahoma" w:hAnsi="Tahoma" w:cs="Tahoma"/>
          <w:sz w:val="28"/>
          <w:szCs w:val="28"/>
          <w:lang w:eastAsia="es-ES"/>
        </w:rPr>
        <w:t xml:space="preserve">.  La playa estará dividida en cuatro secciones y controlada por personal de seguridad. Las piscinas se pueden abrir, pero con estrictas restricciones y reglas. En las piscinas solo se puede tener el 30% de su capacidad, y es muy importante mantener la distancia, la higiene y limpieza frecuente. Aquí en </w:t>
      </w:r>
      <w:proofErr w:type="spellStart"/>
      <w:r w:rsidRPr="006D7F7C">
        <w:rPr>
          <w:rFonts w:ascii="Tahoma" w:hAnsi="Tahoma" w:cs="Tahoma"/>
          <w:sz w:val="28"/>
          <w:szCs w:val="28"/>
          <w:lang w:eastAsia="es-ES"/>
        </w:rPr>
        <w:t>Alfaz</w:t>
      </w:r>
      <w:proofErr w:type="spellEnd"/>
      <w:r w:rsidRPr="006D7F7C">
        <w:rPr>
          <w:rFonts w:ascii="Tahoma" w:hAnsi="Tahoma" w:cs="Tahoma"/>
          <w:sz w:val="28"/>
          <w:szCs w:val="28"/>
          <w:lang w:eastAsia="es-ES"/>
        </w:rPr>
        <w:t xml:space="preserve"> del Sol esperamos poder abrir la piscina pronto, un nuevo aviso sobre esto llegará tan pronto como sepamos algo más.</w:t>
      </w:r>
    </w:p>
    <w:p w14:paraId="26DC50A8" w14:textId="77777777" w:rsidR="00E84983" w:rsidRPr="006D7F7C" w:rsidRDefault="00E84983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</w:p>
    <w:p w14:paraId="1199D750" w14:textId="1E6923E3" w:rsidR="00D477CF" w:rsidRPr="006D7F7C" w:rsidRDefault="00D477CF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  <w:r w:rsidRPr="006D7F7C">
        <w:rPr>
          <w:rFonts w:ascii="Tahoma" w:hAnsi="Tahoma" w:cs="Tahoma"/>
          <w:sz w:val="28"/>
          <w:szCs w:val="28"/>
          <w:lang w:eastAsia="es-ES"/>
        </w:rPr>
        <w:t xml:space="preserve"> A partir de hoy, aumenta el número de personas que pueden reunirse de 10 a 15 unidades, esto se aplica en el hogar </w:t>
      </w:r>
      <w:r w:rsidR="00E84983" w:rsidRPr="006D7F7C">
        <w:rPr>
          <w:rFonts w:ascii="Tahoma" w:hAnsi="Tahoma" w:cs="Tahoma"/>
          <w:sz w:val="28"/>
          <w:szCs w:val="28"/>
          <w:lang w:eastAsia="es-ES"/>
        </w:rPr>
        <w:t>o afuera</w:t>
      </w:r>
      <w:r w:rsidRPr="006D7F7C">
        <w:rPr>
          <w:rFonts w:ascii="Tahoma" w:hAnsi="Tahoma" w:cs="Tahoma"/>
          <w:sz w:val="28"/>
          <w:szCs w:val="28"/>
          <w:lang w:eastAsia="es-ES"/>
        </w:rPr>
        <w:t xml:space="preserve">.  Cine, teatro, auditorio, congreso </w:t>
      </w:r>
      <w:r w:rsidR="00E84983" w:rsidRPr="006D7F7C">
        <w:rPr>
          <w:rFonts w:ascii="Tahoma" w:hAnsi="Tahoma" w:cs="Tahoma"/>
          <w:sz w:val="28"/>
          <w:szCs w:val="28"/>
          <w:lang w:eastAsia="es-ES"/>
        </w:rPr>
        <w:t>abren y</w:t>
      </w:r>
      <w:r w:rsidRPr="006D7F7C">
        <w:rPr>
          <w:rFonts w:ascii="Tahoma" w:hAnsi="Tahoma" w:cs="Tahoma"/>
          <w:sz w:val="28"/>
          <w:szCs w:val="28"/>
          <w:lang w:eastAsia="es-ES"/>
        </w:rPr>
        <w:t xml:space="preserve"> se puede hacer reuniones de negocios, pero solo se permite utilizar 1/3 de capacidad, máximo 50 personas.</w:t>
      </w:r>
    </w:p>
    <w:p w14:paraId="0166EB65" w14:textId="2617F44C" w:rsidR="00AD78F2" w:rsidRPr="006D7F7C" w:rsidRDefault="00AD78F2" w:rsidP="00AD78F2">
      <w:pPr>
        <w:pStyle w:val="Sinespaciado"/>
        <w:rPr>
          <w:rFonts w:ascii="Tahoma" w:hAnsi="Tahoma" w:cs="Tahoma"/>
          <w:sz w:val="28"/>
          <w:szCs w:val="28"/>
          <w:lang w:eastAsia="es-ES"/>
        </w:rPr>
      </w:pPr>
      <w:r w:rsidRPr="006D7F7C">
        <w:rPr>
          <w:rFonts w:ascii="Tahoma" w:hAnsi="Tahoma" w:cs="Tahoma"/>
          <w:sz w:val="28"/>
          <w:szCs w:val="28"/>
          <w:lang w:eastAsia="es-ES"/>
        </w:rPr>
        <w:br/>
        <w:t>Si conduce un coche, las reglas son las mismas, si viven bajo el mismo techo, pueden viajar juntos en coche y sin mascarilla. De lo contrario, hay un máximo de dos personas por fila y todos deben usar mascarilla, esto significa que en un coche de pasajeros tamaño normal puede viajar 4 personas, dos en la parte delantera y dos en la parte trasera.</w:t>
      </w:r>
    </w:p>
    <w:p w14:paraId="769A9A81" w14:textId="77777777" w:rsidR="00E84983" w:rsidRPr="006D7F7C" w:rsidRDefault="00E84983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</w:p>
    <w:p w14:paraId="55E5E2B1" w14:textId="69D96DD0" w:rsidR="00D477CF" w:rsidRDefault="00D477CF" w:rsidP="00D477CF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eastAsia="es-ES"/>
        </w:rPr>
      </w:pPr>
      <w:r w:rsidRPr="006D7F7C">
        <w:rPr>
          <w:rFonts w:ascii="Tahoma" w:hAnsi="Tahoma" w:cs="Tahoma"/>
          <w:sz w:val="28"/>
          <w:szCs w:val="28"/>
          <w:lang w:eastAsia="es-ES"/>
        </w:rPr>
        <w:t xml:space="preserve">La región de Valencia espera poder avanzar </w:t>
      </w:r>
      <w:r w:rsidR="00E84983" w:rsidRPr="006D7F7C">
        <w:rPr>
          <w:rFonts w:ascii="Tahoma" w:hAnsi="Tahoma" w:cs="Tahoma"/>
          <w:sz w:val="28"/>
          <w:szCs w:val="28"/>
          <w:lang w:eastAsia="es-ES"/>
        </w:rPr>
        <w:t>a la</w:t>
      </w:r>
      <w:r w:rsidRPr="006D7F7C">
        <w:rPr>
          <w:rFonts w:ascii="Tahoma" w:hAnsi="Tahoma" w:cs="Tahoma"/>
          <w:sz w:val="28"/>
          <w:szCs w:val="28"/>
          <w:lang w:eastAsia="es-ES"/>
        </w:rPr>
        <w:t xml:space="preserve"> fase 3 a partir del 15 de junio y quizás antes.</w:t>
      </w:r>
    </w:p>
    <w:p w14:paraId="5A41C85C" w14:textId="77777777" w:rsidR="002962D7" w:rsidRPr="006D7F7C" w:rsidRDefault="002962D7" w:rsidP="00D477CF">
      <w:pPr>
        <w:pStyle w:val="Sinespaciado"/>
        <w:rPr>
          <w:rFonts w:ascii="Tahoma" w:hAnsi="Tahoma" w:cs="Tahoma"/>
          <w:sz w:val="28"/>
          <w:szCs w:val="28"/>
          <w:lang w:eastAsia="es-ES"/>
        </w:rPr>
      </w:pPr>
    </w:p>
    <w:p w14:paraId="7EEE940D" w14:textId="1F51239F" w:rsidR="00E84983" w:rsidRPr="006D7F7C" w:rsidRDefault="00E84983" w:rsidP="006D7F7C">
      <w:pPr>
        <w:pStyle w:val="Sinespaciado"/>
        <w:jc w:val="center"/>
        <w:rPr>
          <w:rFonts w:ascii="Tahoma" w:hAnsi="Tahoma" w:cs="Tahoma"/>
          <w:sz w:val="28"/>
          <w:szCs w:val="28"/>
        </w:rPr>
      </w:pPr>
    </w:p>
    <w:p w14:paraId="7943D400" w14:textId="3A28FDAF" w:rsidR="00E84983" w:rsidRPr="006D7F7C" w:rsidRDefault="00E84983" w:rsidP="006D7F7C">
      <w:pPr>
        <w:pStyle w:val="Sinespaciado"/>
        <w:rPr>
          <w:rFonts w:ascii="Tahoma" w:hAnsi="Tahoma" w:cs="Tahoma"/>
          <w:sz w:val="28"/>
          <w:szCs w:val="28"/>
        </w:rPr>
      </w:pPr>
    </w:p>
    <w:p w14:paraId="5198FBD0" w14:textId="75014136" w:rsidR="00E84983" w:rsidRPr="006D7F7C" w:rsidRDefault="00E84983" w:rsidP="00E84983">
      <w:pPr>
        <w:pStyle w:val="Sinespaciado"/>
        <w:jc w:val="center"/>
        <w:rPr>
          <w:rFonts w:ascii="Tahoma" w:hAnsi="Tahoma" w:cs="Tahoma"/>
          <w:sz w:val="28"/>
          <w:szCs w:val="28"/>
        </w:rPr>
      </w:pPr>
    </w:p>
    <w:p w14:paraId="4C2FAEFA" w14:textId="5C58781F" w:rsidR="00E84983" w:rsidRPr="006D7F7C" w:rsidRDefault="00E84983" w:rsidP="00E84983">
      <w:pPr>
        <w:pStyle w:val="Sinespaciado"/>
        <w:rPr>
          <w:rFonts w:ascii="Tahoma" w:hAnsi="Tahoma" w:cs="Tahoma"/>
          <w:sz w:val="28"/>
          <w:szCs w:val="28"/>
        </w:rPr>
      </w:pPr>
    </w:p>
    <w:p w14:paraId="445FC8D1" w14:textId="77777777" w:rsidR="00E84983" w:rsidRPr="002962D7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  <w:r w:rsidRPr="002962D7">
        <w:rPr>
          <w:rFonts w:ascii="Tahoma" w:hAnsi="Tahoma" w:cs="Tahoma"/>
          <w:sz w:val="28"/>
          <w:szCs w:val="28"/>
          <w:lang w:val="en-GB"/>
        </w:rPr>
        <w:t>Phase 2:</w:t>
      </w:r>
    </w:p>
    <w:p w14:paraId="29A7DCD5" w14:textId="77777777" w:rsidR="00E84983" w:rsidRPr="002962D7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  <w:r w:rsidRPr="002962D7">
        <w:rPr>
          <w:rFonts w:ascii="Tahoma" w:hAnsi="Tahoma" w:cs="Tahoma"/>
          <w:sz w:val="28"/>
          <w:szCs w:val="28"/>
          <w:lang w:val="en-GB"/>
        </w:rPr>
        <w:t>The province of Alicante, along with the rest of the Valencian Community, will proceed to Phase 2 starting today, Monday, June 1. Now 70% of Spain is in phase 2. Little by little it is improving!</w:t>
      </w:r>
    </w:p>
    <w:p w14:paraId="27CFA83A" w14:textId="77777777" w:rsidR="00E84983" w:rsidRPr="002962D7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64759288" w14:textId="77777777" w:rsidR="00E84983" w:rsidRPr="002962D7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  <w:r w:rsidRPr="002962D7">
        <w:rPr>
          <w:rFonts w:ascii="Tahoma" w:hAnsi="Tahoma" w:cs="Tahoma"/>
          <w:sz w:val="28"/>
          <w:szCs w:val="28"/>
          <w:lang w:val="en-GB"/>
        </w:rPr>
        <w:t>As of today, the schedule of walks and sports does not apply, only that the schedule for walks of those over 70 is respected.</w:t>
      </w:r>
    </w:p>
    <w:p w14:paraId="0D8366F7" w14:textId="77777777" w:rsidR="00E84983" w:rsidRPr="002962D7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0511D95E" w14:textId="1FFCE95E" w:rsidR="00E84983" w:rsidRPr="006D7F7C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  <w:r w:rsidRPr="002962D7">
        <w:rPr>
          <w:rFonts w:ascii="Tahoma" w:hAnsi="Tahoma" w:cs="Tahoma"/>
          <w:sz w:val="28"/>
          <w:szCs w:val="28"/>
          <w:lang w:val="en-GB"/>
        </w:rPr>
        <w:t xml:space="preserve">Bars and restaurants can open indoors, malls and shops of more than 400 m2 can be opened and beaches and swimming pools can be used. Here in </w:t>
      </w:r>
      <w:proofErr w:type="spellStart"/>
      <w:r w:rsidRPr="002962D7">
        <w:rPr>
          <w:rFonts w:ascii="Tahoma" w:hAnsi="Tahoma" w:cs="Tahoma"/>
          <w:sz w:val="28"/>
          <w:szCs w:val="28"/>
          <w:lang w:val="en-GB"/>
        </w:rPr>
        <w:t>Alfaz</w:t>
      </w:r>
      <w:proofErr w:type="spellEnd"/>
      <w:r w:rsidRPr="002962D7">
        <w:rPr>
          <w:rFonts w:ascii="Tahoma" w:hAnsi="Tahoma" w:cs="Tahoma"/>
          <w:sz w:val="28"/>
          <w:szCs w:val="28"/>
          <w:lang w:val="en-GB"/>
        </w:rPr>
        <w:t xml:space="preserve"> del Pi the beach in </w:t>
      </w:r>
      <w:proofErr w:type="spellStart"/>
      <w:r w:rsidRPr="002962D7">
        <w:rPr>
          <w:rFonts w:ascii="Tahoma" w:hAnsi="Tahoma" w:cs="Tahoma"/>
          <w:sz w:val="28"/>
          <w:szCs w:val="28"/>
          <w:lang w:val="en-GB"/>
        </w:rPr>
        <w:t>Albir</w:t>
      </w:r>
      <w:proofErr w:type="spellEnd"/>
      <w:r w:rsidRPr="002962D7">
        <w:rPr>
          <w:rFonts w:ascii="Tahoma" w:hAnsi="Tahoma" w:cs="Tahoma"/>
          <w:sz w:val="28"/>
          <w:szCs w:val="28"/>
          <w:lang w:val="en-GB"/>
        </w:rPr>
        <w:t xml:space="preserve"> does not open until June 10, decision of the City Council. </w:t>
      </w:r>
      <w:r w:rsidRPr="006D7F7C">
        <w:rPr>
          <w:rFonts w:ascii="Tahoma" w:hAnsi="Tahoma" w:cs="Tahoma"/>
          <w:sz w:val="28"/>
          <w:szCs w:val="28"/>
          <w:lang w:val="en-GB"/>
        </w:rPr>
        <w:t xml:space="preserve">The beach will be divided into four sections and controlled by security guards. The pools can be opened, but with strict restrictions and rules. </w:t>
      </w:r>
      <w:r w:rsidRPr="002962D7">
        <w:rPr>
          <w:rFonts w:ascii="Tahoma" w:hAnsi="Tahoma" w:cs="Tahoma"/>
          <w:sz w:val="28"/>
          <w:szCs w:val="28"/>
          <w:lang w:val="en-GB"/>
        </w:rPr>
        <w:t xml:space="preserve">In pools you can only have 30% of its capacity, and it is very important to maintain distance, hygiene and frequent cleaning. </w:t>
      </w:r>
      <w:r w:rsidRPr="006D7F7C">
        <w:rPr>
          <w:rFonts w:ascii="Tahoma" w:hAnsi="Tahoma" w:cs="Tahoma"/>
          <w:sz w:val="28"/>
          <w:szCs w:val="28"/>
          <w:lang w:val="en-GB"/>
        </w:rPr>
        <w:t xml:space="preserve">Here at </w:t>
      </w:r>
      <w:proofErr w:type="spellStart"/>
      <w:r w:rsidRPr="006D7F7C">
        <w:rPr>
          <w:rFonts w:ascii="Tahoma" w:hAnsi="Tahoma" w:cs="Tahoma"/>
          <w:sz w:val="28"/>
          <w:szCs w:val="28"/>
          <w:lang w:val="en-GB"/>
        </w:rPr>
        <w:t>Alfaz</w:t>
      </w:r>
      <w:proofErr w:type="spellEnd"/>
      <w:r w:rsidRPr="006D7F7C">
        <w:rPr>
          <w:rFonts w:ascii="Tahoma" w:hAnsi="Tahoma" w:cs="Tahoma"/>
          <w:sz w:val="28"/>
          <w:szCs w:val="28"/>
          <w:lang w:val="en-GB"/>
        </w:rPr>
        <w:t xml:space="preserve"> del Sol we hope to be able to open the pool soon, a new notice about this will come as soon as we kno</w:t>
      </w:r>
      <w:r w:rsidR="00AD78F2" w:rsidRPr="006D7F7C">
        <w:rPr>
          <w:rFonts w:ascii="Tahoma" w:hAnsi="Tahoma" w:cs="Tahoma"/>
          <w:sz w:val="28"/>
          <w:szCs w:val="28"/>
          <w:lang w:val="en-GB"/>
        </w:rPr>
        <w:t>w.</w:t>
      </w:r>
    </w:p>
    <w:p w14:paraId="18CC9124" w14:textId="77777777" w:rsidR="00E84983" w:rsidRPr="006D7F7C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7AE8C912" w14:textId="6C6B6483" w:rsidR="00E84983" w:rsidRPr="002962D7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  <w:r w:rsidRPr="006D7F7C">
        <w:rPr>
          <w:rFonts w:ascii="Tahoma" w:hAnsi="Tahoma" w:cs="Tahoma"/>
          <w:sz w:val="28"/>
          <w:szCs w:val="28"/>
          <w:lang w:val="en-GB"/>
        </w:rPr>
        <w:t> </w:t>
      </w:r>
      <w:r w:rsidRPr="002962D7">
        <w:rPr>
          <w:rFonts w:ascii="Tahoma" w:hAnsi="Tahoma" w:cs="Tahoma"/>
          <w:sz w:val="28"/>
          <w:szCs w:val="28"/>
          <w:lang w:val="en-GB"/>
        </w:rPr>
        <w:t xml:space="preserve">Starting today, the number of people who can meet from 10 to 15 units increases, this applies at home or outside. Cinema, </w:t>
      </w:r>
      <w:r w:rsidR="002962D7" w:rsidRPr="002962D7">
        <w:rPr>
          <w:rFonts w:ascii="Tahoma" w:hAnsi="Tahoma" w:cs="Tahoma"/>
          <w:sz w:val="28"/>
          <w:szCs w:val="28"/>
          <w:lang w:val="en-GB"/>
        </w:rPr>
        <w:t>theatre</w:t>
      </w:r>
      <w:r w:rsidRPr="002962D7">
        <w:rPr>
          <w:rFonts w:ascii="Tahoma" w:hAnsi="Tahoma" w:cs="Tahoma"/>
          <w:sz w:val="28"/>
          <w:szCs w:val="28"/>
          <w:lang w:val="en-GB"/>
        </w:rPr>
        <w:t xml:space="preserve">, auditorium, congress </w:t>
      </w:r>
      <w:r w:rsidR="002962D7" w:rsidRPr="002962D7">
        <w:rPr>
          <w:rFonts w:ascii="Tahoma" w:hAnsi="Tahoma" w:cs="Tahoma"/>
          <w:sz w:val="28"/>
          <w:szCs w:val="28"/>
          <w:lang w:val="en-GB"/>
        </w:rPr>
        <w:t>is</w:t>
      </w:r>
      <w:r w:rsidRPr="002962D7">
        <w:rPr>
          <w:rFonts w:ascii="Tahoma" w:hAnsi="Tahoma" w:cs="Tahoma"/>
          <w:sz w:val="28"/>
          <w:szCs w:val="28"/>
          <w:lang w:val="en-GB"/>
        </w:rPr>
        <w:t xml:space="preserve"> </w:t>
      </w:r>
      <w:r w:rsidR="002962D7" w:rsidRPr="002962D7">
        <w:rPr>
          <w:rFonts w:ascii="Tahoma" w:hAnsi="Tahoma" w:cs="Tahoma"/>
          <w:sz w:val="28"/>
          <w:szCs w:val="28"/>
          <w:lang w:val="en-GB"/>
        </w:rPr>
        <w:t>open,</w:t>
      </w:r>
      <w:r w:rsidRPr="002962D7">
        <w:rPr>
          <w:rFonts w:ascii="Tahoma" w:hAnsi="Tahoma" w:cs="Tahoma"/>
          <w:sz w:val="28"/>
          <w:szCs w:val="28"/>
          <w:lang w:val="en-GB"/>
        </w:rPr>
        <w:t xml:space="preserve"> and you can do business meetings, but only 1/3 of the capacity is allowed, maximum 50 people.</w:t>
      </w:r>
    </w:p>
    <w:p w14:paraId="2052F8F4" w14:textId="2A2564E2" w:rsidR="00AD78F2" w:rsidRPr="002962D7" w:rsidRDefault="00AD78F2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779C0D70" w14:textId="77777777" w:rsidR="00AD78F2" w:rsidRPr="002962D7" w:rsidRDefault="00AD78F2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4F76C42E" w14:textId="7BED0F33" w:rsidR="00E84983" w:rsidRPr="002962D7" w:rsidRDefault="00AD78F2" w:rsidP="00AD78F2">
      <w:pPr>
        <w:pStyle w:val="Sinespaciado"/>
        <w:rPr>
          <w:rFonts w:ascii="Tahoma" w:hAnsi="Tahoma" w:cs="Tahoma"/>
          <w:sz w:val="28"/>
          <w:szCs w:val="28"/>
          <w:lang w:val="en-GB"/>
        </w:rPr>
      </w:pPr>
      <w:r w:rsidRPr="006D7F7C">
        <w:rPr>
          <w:rFonts w:ascii="Tahoma" w:hAnsi="Tahoma" w:cs="Tahoma"/>
          <w:sz w:val="28"/>
          <w:szCs w:val="28"/>
          <w:lang w:val="en-GB"/>
        </w:rPr>
        <w:br/>
      </w:r>
      <w:r w:rsidRPr="002962D7">
        <w:rPr>
          <w:rFonts w:ascii="Tahoma" w:hAnsi="Tahoma" w:cs="Tahoma"/>
          <w:sz w:val="28"/>
          <w:szCs w:val="28"/>
          <w:lang w:val="en-GB"/>
        </w:rPr>
        <w:t>If you drive a car, the rules are the same, if you live under the same roof, you can travel together by car and without a mask. Otherwise, there is a maximum of two people per row and everyone must wear a mask, this means that in a normal size passenger car 4 people can travel, two in the front and two in the rear.</w:t>
      </w:r>
    </w:p>
    <w:p w14:paraId="506D0872" w14:textId="77777777" w:rsidR="006D7F7C" w:rsidRPr="002962D7" w:rsidRDefault="006D7F7C" w:rsidP="00AD78F2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1A50F04E" w14:textId="31283144" w:rsidR="00E84983" w:rsidRDefault="00E84983" w:rsidP="00E84983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-GB"/>
        </w:rPr>
      </w:pPr>
      <w:r w:rsidRPr="002962D7">
        <w:rPr>
          <w:rFonts w:ascii="Tahoma" w:hAnsi="Tahoma" w:cs="Tahoma"/>
          <w:sz w:val="28"/>
          <w:szCs w:val="28"/>
          <w:lang w:val="en-GB"/>
        </w:rPr>
        <w:t>The Valencia region hopes to be able to advance to phase 3 from June 15 and perhaps earlier.</w:t>
      </w:r>
    </w:p>
    <w:p w14:paraId="34E892CF" w14:textId="77777777" w:rsidR="002962D7" w:rsidRPr="002962D7" w:rsidRDefault="002962D7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49052C28" w14:textId="667BCDC6" w:rsidR="00E84983" w:rsidRPr="002962D7" w:rsidRDefault="00E84983" w:rsidP="00E84983">
      <w:pPr>
        <w:pStyle w:val="Sinespaciado"/>
        <w:rPr>
          <w:rFonts w:ascii="Tahoma" w:hAnsi="Tahoma" w:cs="Tahoma"/>
          <w:sz w:val="28"/>
          <w:szCs w:val="28"/>
          <w:lang w:val="en-GB"/>
        </w:rPr>
      </w:pPr>
    </w:p>
    <w:p w14:paraId="36921D91" w14:textId="6ABDED26" w:rsidR="00E84983" w:rsidRPr="006D7F7C" w:rsidRDefault="006D7F7C" w:rsidP="00E84983">
      <w:pPr>
        <w:pStyle w:val="Sinespaciado"/>
        <w:rPr>
          <w:rFonts w:ascii="Tahoma" w:hAnsi="Tahoma" w:cs="Tahom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3FAE50" wp14:editId="34DE44B1">
            <wp:extent cx="5400040" cy="3331755"/>
            <wp:effectExtent l="0" t="0" r="0" b="2540"/>
            <wp:docPr id="4" name="Imagen 4" descr="Fases de la desescalada del confimaniento por el coronavirus.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es de la desescalada del confimaniento por el coronavirus.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983" w:rsidRPr="006D7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F5090"/>
    <w:multiLevelType w:val="multilevel"/>
    <w:tmpl w:val="F2A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02"/>
    <w:rsid w:val="001F3D35"/>
    <w:rsid w:val="002914DB"/>
    <w:rsid w:val="002962D7"/>
    <w:rsid w:val="006D0440"/>
    <w:rsid w:val="006D7F7C"/>
    <w:rsid w:val="00926165"/>
    <w:rsid w:val="00AD78F2"/>
    <w:rsid w:val="00C93238"/>
    <w:rsid w:val="00D477CF"/>
    <w:rsid w:val="00E84983"/>
    <w:rsid w:val="00F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10A9"/>
  <w15:chartTrackingRefBased/>
  <w15:docId w15:val="{E31AE9C9-C84B-43A0-93D1-E6F084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47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5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8632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243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9471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1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486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4701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76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255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35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74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86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3</cp:revision>
  <dcterms:created xsi:type="dcterms:W3CDTF">2020-06-01T09:39:00Z</dcterms:created>
  <dcterms:modified xsi:type="dcterms:W3CDTF">2020-06-01T11:11:00Z</dcterms:modified>
</cp:coreProperties>
</file>